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038/2022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20 de outubro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Ines Aparecida Borba, Jeferson Wilian Karpinski, Marco Antonio Talgatti, Nilso João Talgatti,  Paulo Dall Agnol e Thiago Blasczak Borgmann.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005/2022, de 13/10/2022 - Mesa Diretora – Cria Comissão Especial destinada a acompanhar os trâmites da reforma de acessibilidade na Câmara de Vereadores.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124/2022, de 17/10/2022 - Executivo Municipal – Cria o Conselho Municipal de Lazer, Desporto e Recreação, institui o Sistema Municipal de Lazer, Desporto e Recreação, institui o Fundo Municipal de Desenvolvimento Desportivo e do Lazer, estabelece diretrizes para as políticas municipais de desporto e dá outras providências.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03 de novembro, às 18h30min, na Sala das Sessões Engenheiro Firmino Girardello, na Câmara de Vereadores;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26 de outubro de 2022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AMUW2mWgeDE+gECbE0f04/fItRBd+vG912Vj/mbFBq2vhLGpZHF7SR4v8knebB81l2OLH6bfxA/blAGqJ2RUG/FdNwVxZBI1n0CNgCLPl4fXxowHq8B3JeBvTbyxhmJTw07zTIdJzzmC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