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038/2022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20 de outubro de 2022, às 18h30, realizada na sede do Poder Legislativo, na Sala das Sessões Engenheiro Firmino Girardello, sob a Presidência do Vereador Dinarte Afonso Tagliari Farias, secretariado pelo Vereador Domingo Borges de Oliveira, 1º Secretário, com presença dos Vereadores: Aquiles Pessoa da Silva, Ines Aparecida Borba, Jeferson Wilian Karpinski, Marco Antonio Talgatti, Nilso João Talgatti,  Paulo Dall Agnol e Thiago Blasczak Borgmann.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Requerimento 005/2022, de 13/10/2022 - Mesa Diretora – Cria Comissão Especial destinada a acompanhar os trâmites da reforma de acessibilidade na Câmara de Vereadores.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124/2022, de 17/10/2022 - Executivo Municipal – Cria o Conselho Municipal de Lazer, Desporto e Recreação, institui o Sistema Municipal de Lazer, Desporto e Recreação, institui o Fundo Municipal de Desenvolvimento Desportivo e do Lazer, estabelece diretrizes para as políticas municipais de desporto e dá outras providências.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 próxima Sessão acontece no dia 03 de novembro, às 18h30min, na Sala das Sessões Engenheiro Firmino Girardello, na Câmara de Vereadores;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atendimento na Casa acontece das 8h30 às 11h30, e das 13h30 às 17h, de segunda a sexta-feira;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contato com o Poder Legislativo pode ser feito também por telefone através do número (54)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As sessões são transmitidas ao vivo no canal de YouTube da Casa (Câmara de Vereadores de Getúlio Vargas). O link será disponibilizado momentos antes de cada transmissão nas redes sociais e no site da Câmara.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26 de outubro de 2022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0"/>
      <w:szCs w:val="20"/>
      <w:lang w:bidi="ar-SA" w:eastAsia="pt-BR" w:val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120" w:before="240"/>
      <w:outlineLvl w:val="0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character" w:styleId="Strong">
    <w:name w:val="Strong"/>
    <w:qFormat w:val="1"/>
    <w:rPr>
      <w:b w:val="1"/>
      <w:bCs w:val="1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  <w:lang w:bidi="zxx" w:eastAsia="zxx" w:val="zxx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Ku7lG9o85xrEKkbnyjQ1VKwdlw==">AMUW2mWgeDE+gECbE0f04/fItRBd+vG912Vj/mbFBq2vhLGpZHF7SR4v8knebB81l2OLH6bfxA/blAGqJ2RUG/FdNwVxZBI1n0CNgCLPl4fXxowHq8B3JeBvTbyxhmJTw07zTIdJzzmC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2022-10-05T14:57:00Z</dcterms:created>
  <dc:creator>Andrei-PC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