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030/2022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1 de setembro de 2022, às 18h30, realizada na sede do Poder Legislativo, na Sala das Sessões Engenheiro Firmino Girardello, sob a Presidência do Vereador Dinarte Afonso Tagliari Farias, secretariado pelo Vereador Domingo Borges de Oliveira, 1º Secretário, com presença dos Vereadores: Aquiles Pessoa da Silva, Dianete Maria Rampazzo Dalla Costa, Jeferson Wilian Karpinski, Marco Antonio Talgatti, Nilso João Talgatti, Paulo Dall Agnol e Thiago Blasczak Borgmann.</w:t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PROPOSIÇÕES EM PAUTA</w:t>
      </w:r>
    </w:p>
    <w:p w:rsidR="00000000" w:rsidDel="00000000" w:rsidP="00000000" w:rsidRDefault="00000000" w:rsidRPr="00000000" w14:paraId="00000005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010/2022, de 29/08/2022 - Vereador Paulo Dall Agnol – Solicita ao Executivo Municipal que seja estabelecida a obrigatoriedade do recolhimento de dejetos fecais, por parte dos condutores de animais domésticos em vias e logradouros públicos, mantendo a cidade limpa.</w:t>
      </w:r>
    </w:p>
    <w:p w:rsidR="00000000" w:rsidDel="00000000" w:rsidP="00000000" w:rsidRDefault="00000000" w:rsidRPr="00000000" w14:paraId="00000006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7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acompanhado de Parecer 096/2022, de 11/08/2022 -</w:t>
      </w:r>
    </w:p>
    <w:p w:rsidR="00000000" w:rsidDel="00000000" w:rsidP="00000000" w:rsidRDefault="00000000" w:rsidRPr="00000000" w14:paraId="00000009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Executivo Municipal – - Dispõe sobre as Diretrizes Orçamentárias para o exercício de 2023 e dá outras providências.</w:t>
      </w:r>
    </w:p>
    <w:p w:rsidR="00000000" w:rsidDel="00000000" w:rsidP="00000000" w:rsidRDefault="00000000" w:rsidRPr="00000000" w14:paraId="0000000A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B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105/2022, de 26/08/2022 - Executivo Municipal – Autoriza o Poder Executivo Municipal a efetuar a contratação de 01 (um) Professor de Educação Infantil e Séries Iniciais do Ensino Fundamental, em caráter temporário de excepcional interesse público.</w:t>
      </w:r>
    </w:p>
    <w:p w:rsidR="00000000" w:rsidDel="00000000" w:rsidP="00000000" w:rsidRDefault="00000000" w:rsidRPr="00000000" w14:paraId="0000000D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E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106/2022, de 26/08/2022 - Executivo Municipal – Autoriza o Poder Executivo Municipal a efetuar a contratação de 02 (dois) Serventes, em caráter temporário de excepcional interesse público.</w:t>
      </w:r>
    </w:p>
    <w:p w:rsidR="00000000" w:rsidDel="00000000" w:rsidP="00000000" w:rsidRDefault="00000000" w:rsidRPr="00000000" w14:paraId="00000010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1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107/2022, de 29/08/2022 - Executivo Municipal – Revoga a Lei Municipal nº 4.670, de 06 de setembro de 2013.</w:t>
      </w:r>
    </w:p>
    <w:p w:rsidR="00000000" w:rsidDel="00000000" w:rsidP="00000000" w:rsidRDefault="00000000" w:rsidRPr="00000000" w14:paraId="00000013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COMUNICADOS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*A próxima Sessão Ordinária acontece no dia 15, às 18h30 na Câmara de Vereadores.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atendimento na Casa acontece das 8h30 às 11h30, e das 13h30 às 17h, de segunda a sexta-feira.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contato com o Poder Legislativo pode ser feito também por telefone através do número 54 3341 3889, ou pelo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maiores informações acesse: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www.getuliovargas.rs.leg.br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Getúlio Vargas, 8 de setembro  de 2022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Dinarte Afonso Tagliari Farias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69.05511811023644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etuliovargas.rs.leg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jeKQUQNd9bYUtTO9p18Bx1n/uw==">AMUW2mUIcK+17Y97X+v/FpmN2IojnKQok9C1QM09un9YKzlR0KMQJf9S72ueOAWeO1GPrtOBk9xOLKM+26SBxRYmDNJcvB+7857Za5eO4GHISkxGQi4ERSaoa8wCusmD0smWS8hOVn7/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