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left="288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746760</wp:posOffset>
            </wp:positionH>
            <wp:positionV relativeFrom="page">
              <wp:posOffset>611505</wp:posOffset>
            </wp:positionV>
            <wp:extent cx="554355" cy="2203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54355" cy="220345"/>
                    </a:xfrm>
                    <a:prstGeom prst="rect">
                      <a:avLst/>
                    </a:prstGeom>
                    <a:noFill/>
                  </pic:spPr>
                </pic:pic>
              </a:graphicData>
            </a:graphic>
          </wp:anchor>
        </w:drawing>
        <w:t>PREFEITURA MUNICIPAL DE GETÚLIO VARGAS</w:t>
      </w:r>
    </w:p>
    <w:p>
      <w:pPr>
        <w:spacing w:after="0" w:line="2" w:lineRule="exact"/>
        <w:rPr>
          <w:sz w:val="24"/>
          <w:szCs w:val="24"/>
          <w:color w:val="auto"/>
        </w:rPr>
      </w:pPr>
    </w:p>
    <w:p>
      <w:pPr>
        <w:jc w:val="center"/>
        <w:ind w:left="3020"/>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-276225</wp:posOffset>
            </wp:positionH>
            <wp:positionV relativeFrom="paragraph">
              <wp:posOffset>-182245</wp:posOffset>
            </wp:positionV>
            <wp:extent cx="768985" cy="5403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68985" cy="540385"/>
                    </a:xfrm>
                    <a:prstGeom prst="rect">
                      <a:avLst/>
                    </a:prstGeom>
                    <a:noFill/>
                  </pic:spPr>
                </pic:pic>
              </a:graphicData>
            </a:graphic>
          </wp:anchor>
        </w:drawing>
      </w:r>
    </w:p>
    <w:p>
      <w:pPr>
        <w:jc w:val="center"/>
        <w:ind w:left="3060"/>
        <w:spacing w:after="0" w:line="235" w:lineRule="auto"/>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left="3000"/>
        <w:spacing w:after="0"/>
        <w:rPr>
          <w:sz w:val="20"/>
          <w:szCs w:val="20"/>
          <w:color w:val="auto"/>
        </w:rPr>
      </w:pPr>
      <w:r>
        <w:rPr>
          <w:rFonts w:ascii="Times New Roman" w:cs="Times New Roman" w:eastAsia="Times New Roman" w:hAnsi="Times New Roman"/>
          <w:sz w:val="24"/>
          <w:szCs w:val="24"/>
          <w:color w:val="auto"/>
        </w:rPr>
        <w:t>pmgv@itake.com.br</w:t>
      </w:r>
    </w:p>
    <w:p>
      <w:pPr>
        <w:spacing w:after="0" w:line="200" w:lineRule="exact"/>
        <w:rPr>
          <w:sz w:val="24"/>
          <w:szCs w:val="24"/>
          <w:color w:val="auto"/>
        </w:rPr>
      </w:pPr>
    </w:p>
    <w:p>
      <w:pPr>
        <w:spacing w:after="0" w:line="312" w:lineRule="exact"/>
        <w:rPr>
          <w:sz w:val="24"/>
          <w:szCs w:val="24"/>
          <w:color w:val="auto"/>
        </w:rPr>
      </w:pPr>
    </w:p>
    <w:p>
      <w:pPr>
        <w:jc w:val="center"/>
        <w:ind w:right="-219"/>
        <w:spacing w:after="0"/>
        <w:rPr>
          <w:sz w:val="20"/>
          <w:szCs w:val="20"/>
          <w:color w:val="auto"/>
        </w:rPr>
      </w:pPr>
      <w:r>
        <w:rPr>
          <w:rFonts w:ascii="Calibri" w:cs="Calibri" w:eastAsia="Calibri" w:hAnsi="Calibri"/>
          <w:sz w:val="22"/>
          <w:szCs w:val="22"/>
          <w:b w:val="1"/>
          <w:bCs w:val="1"/>
          <w:u w:val="single" w:color="auto"/>
          <w:color w:val="auto"/>
        </w:rPr>
        <w:t>LEI Nº 5.750 DE 23 DE DEZEMBRO DE 2020</w:t>
      </w:r>
    </w:p>
    <w:p>
      <w:pPr>
        <w:spacing w:after="0" w:line="200" w:lineRule="exact"/>
        <w:rPr>
          <w:sz w:val="24"/>
          <w:szCs w:val="24"/>
          <w:color w:val="auto"/>
        </w:rPr>
      </w:pPr>
    </w:p>
    <w:p>
      <w:pPr>
        <w:spacing w:after="0" w:line="338" w:lineRule="exact"/>
        <w:rPr>
          <w:sz w:val="24"/>
          <w:szCs w:val="24"/>
          <w:color w:val="auto"/>
        </w:rPr>
      </w:pPr>
    </w:p>
    <w:p>
      <w:pPr>
        <w:ind w:left="5380"/>
        <w:spacing w:after="0"/>
        <w:tabs>
          <w:tab w:leader="none" w:pos="6220" w:val="left"/>
          <w:tab w:leader="none" w:pos="6500" w:val="left"/>
          <w:tab w:leader="none" w:pos="7160" w:val="left"/>
          <w:tab w:leader="none" w:pos="8140" w:val="left"/>
          <w:tab w:leader="none" w:pos="9140" w:val="left"/>
        </w:tabs>
        <w:rPr>
          <w:sz w:val="20"/>
          <w:szCs w:val="20"/>
          <w:color w:val="auto"/>
        </w:rPr>
      </w:pPr>
      <w:r>
        <w:rPr>
          <w:rFonts w:ascii="Calibri" w:cs="Calibri" w:eastAsia="Calibri" w:hAnsi="Calibri"/>
          <w:sz w:val="21"/>
          <w:szCs w:val="21"/>
          <w:color w:val="auto"/>
        </w:rPr>
        <w:t>Autoriza</w:t>
        <w:tab/>
        <w:t>o</w:t>
        <w:tab/>
        <w:t>Poder</w:t>
        <w:tab/>
        <w:t>Executivo</w:t>
        <w:tab/>
        <w:t>Municipal</w:t>
      </w:r>
      <w:r>
        <w:rPr>
          <w:sz w:val="20"/>
          <w:szCs w:val="20"/>
          <w:color w:val="auto"/>
        </w:rPr>
        <w:tab/>
      </w:r>
      <w:r>
        <w:rPr>
          <w:rFonts w:ascii="Calibri" w:cs="Calibri" w:eastAsia="Calibri" w:hAnsi="Calibri"/>
          <w:sz w:val="20"/>
          <w:szCs w:val="20"/>
          <w:color w:val="auto"/>
        </w:rPr>
        <w:t>a</w:t>
      </w:r>
    </w:p>
    <w:p>
      <w:pPr>
        <w:ind w:left="5380"/>
        <w:spacing w:after="0"/>
        <w:rPr>
          <w:sz w:val="20"/>
          <w:szCs w:val="20"/>
          <w:color w:val="auto"/>
        </w:rPr>
      </w:pPr>
      <w:r>
        <w:rPr>
          <w:rFonts w:ascii="Calibri" w:cs="Calibri" w:eastAsia="Calibri" w:hAnsi="Calibri"/>
          <w:sz w:val="21"/>
          <w:szCs w:val="21"/>
          <w:color w:val="auto"/>
        </w:rPr>
        <w:t>efetuar o custeio do contrato de Prestação de</w:t>
      </w:r>
    </w:p>
    <w:p>
      <w:pPr>
        <w:ind w:left="5380"/>
        <w:spacing w:after="0" w:line="238" w:lineRule="auto"/>
        <w:rPr>
          <w:sz w:val="20"/>
          <w:szCs w:val="20"/>
          <w:color w:val="auto"/>
        </w:rPr>
      </w:pPr>
      <w:r>
        <w:rPr>
          <w:rFonts w:ascii="Calibri" w:cs="Calibri" w:eastAsia="Calibri" w:hAnsi="Calibri"/>
          <w:sz w:val="21"/>
          <w:szCs w:val="21"/>
          <w:color w:val="auto"/>
        </w:rPr>
        <w:t>Serviços com o Instituto de Previdência do</w:t>
      </w:r>
    </w:p>
    <w:p>
      <w:pPr>
        <w:spacing w:after="0" w:line="1" w:lineRule="exact"/>
        <w:rPr>
          <w:sz w:val="24"/>
          <w:szCs w:val="24"/>
          <w:color w:val="auto"/>
        </w:rPr>
      </w:pPr>
    </w:p>
    <w:p>
      <w:pPr>
        <w:ind w:left="5380"/>
        <w:spacing w:after="0"/>
        <w:rPr>
          <w:sz w:val="20"/>
          <w:szCs w:val="20"/>
          <w:color w:val="auto"/>
        </w:rPr>
      </w:pPr>
      <w:r>
        <w:rPr>
          <w:rFonts w:ascii="Calibri" w:cs="Calibri" w:eastAsia="Calibri" w:hAnsi="Calibri"/>
          <w:sz w:val="21"/>
          <w:szCs w:val="21"/>
          <w:color w:val="auto"/>
        </w:rPr>
        <w:t>Estado do Rio Grande do Sul- IPERGS, dispõe</w:t>
      </w:r>
    </w:p>
    <w:p>
      <w:pPr>
        <w:ind w:left="5380"/>
        <w:spacing w:after="0"/>
        <w:tabs>
          <w:tab w:leader="none" w:pos="6000" w:val="left"/>
          <w:tab w:leader="none" w:pos="6260" w:val="left"/>
          <w:tab w:leader="none" w:pos="6920" w:val="left"/>
          <w:tab w:leader="none" w:pos="7300" w:val="left"/>
          <w:tab w:leader="none" w:pos="8080" w:val="left"/>
          <w:tab w:leader="none" w:pos="8340" w:val="left"/>
          <w:tab w:leader="none" w:pos="8700" w:val="left"/>
        </w:tabs>
        <w:rPr>
          <w:sz w:val="20"/>
          <w:szCs w:val="20"/>
          <w:color w:val="auto"/>
        </w:rPr>
      </w:pPr>
      <w:r>
        <w:rPr>
          <w:rFonts w:ascii="Calibri" w:cs="Calibri" w:eastAsia="Calibri" w:hAnsi="Calibri"/>
          <w:sz w:val="21"/>
          <w:szCs w:val="21"/>
          <w:color w:val="auto"/>
        </w:rPr>
        <w:t>sobre</w:t>
        <w:tab/>
        <w:t>a</w:t>
        <w:tab/>
        <w:t>forma</w:t>
        <w:tab/>
        <w:t>de</w:t>
        <w:tab/>
        <w:t>custeio</w:t>
        <w:tab/>
        <w:t>e</w:t>
        <w:tab/>
        <w:t>dá</w:t>
      </w:r>
      <w:r>
        <w:rPr>
          <w:sz w:val="20"/>
          <w:szCs w:val="20"/>
          <w:color w:val="auto"/>
        </w:rPr>
        <w:tab/>
      </w:r>
      <w:r>
        <w:rPr>
          <w:rFonts w:ascii="Calibri" w:cs="Calibri" w:eastAsia="Calibri" w:hAnsi="Calibri"/>
          <w:sz w:val="20"/>
          <w:szCs w:val="20"/>
          <w:color w:val="auto"/>
        </w:rPr>
        <w:t>outras</w:t>
      </w:r>
    </w:p>
    <w:p>
      <w:pPr>
        <w:ind w:left="5380"/>
        <w:spacing w:after="0"/>
        <w:rPr>
          <w:sz w:val="20"/>
          <w:szCs w:val="20"/>
          <w:color w:val="auto"/>
        </w:rPr>
      </w:pPr>
      <w:r>
        <w:rPr>
          <w:rFonts w:ascii="Calibri" w:cs="Calibri" w:eastAsia="Calibri" w:hAnsi="Calibri"/>
          <w:sz w:val="21"/>
          <w:szCs w:val="21"/>
          <w:color w:val="auto"/>
        </w:rPr>
        <w:t>providências.</w:t>
      </w:r>
    </w:p>
    <w:p>
      <w:pPr>
        <w:spacing w:after="0" w:line="303" w:lineRule="exact"/>
        <w:rPr>
          <w:sz w:val="24"/>
          <w:szCs w:val="24"/>
          <w:color w:val="auto"/>
        </w:rPr>
      </w:pPr>
    </w:p>
    <w:p>
      <w:pPr>
        <w:ind w:left="260" w:firstLine="1176"/>
        <w:spacing w:after="0" w:line="228" w:lineRule="auto"/>
        <w:rPr>
          <w:sz w:val="20"/>
          <w:szCs w:val="20"/>
          <w:color w:val="auto"/>
        </w:rPr>
      </w:pPr>
      <w:r>
        <w:rPr>
          <w:rFonts w:ascii="Calibri" w:cs="Calibri" w:eastAsia="Calibri" w:hAnsi="Calibri"/>
          <w:sz w:val="21"/>
          <w:szCs w:val="21"/>
          <w:color w:val="auto"/>
        </w:rPr>
        <w:t>ELGIDO PASA, Vice-Prefeito em exercício de Getúlio Vargas, Estado do Rio Grande do Sul, faz saber que a Câmara Municipal de Vereadores aprovou e ele sanciona a promulga a seguinte Lei:</w:t>
      </w:r>
    </w:p>
    <w:p>
      <w:pPr>
        <w:spacing w:after="0" w:line="51" w:lineRule="exact"/>
        <w:rPr>
          <w:sz w:val="24"/>
          <w:szCs w:val="24"/>
          <w:color w:val="auto"/>
        </w:rPr>
      </w:pPr>
    </w:p>
    <w:p>
      <w:pPr>
        <w:jc w:val="both"/>
        <w:ind w:left="280" w:firstLine="1126"/>
        <w:spacing w:after="0" w:line="232" w:lineRule="auto"/>
        <w:rPr>
          <w:sz w:val="20"/>
          <w:szCs w:val="20"/>
          <w:color w:val="auto"/>
        </w:rPr>
      </w:pPr>
      <w:r>
        <w:rPr>
          <w:rFonts w:ascii="Calibri" w:cs="Calibri" w:eastAsia="Calibri" w:hAnsi="Calibri"/>
          <w:sz w:val="22"/>
          <w:szCs w:val="22"/>
          <w:color w:val="auto"/>
        </w:rPr>
        <w:t>Art. 1º Fica o Poder Executivo Municipal autorizado a efetuar o custeio do Contrato de Prestação de Serviços efetuado com o Instituto de Previdência do Estado do Rio Grande do Sul-IPERGS, objetivando a execução dos serviços de atendimentos médicos, hospitalares ou atos necessários ao diagnóstico e ao tratamento de doenças, ações de prevenção e à promoção da saúde, fundamentados nos princípios de coparticipação financeira do usuário e do credenciamento dos prestadores de serviços profissionais, pessoas físicas e jurídicas, da área da saúde.</w:t>
      </w:r>
    </w:p>
    <w:p>
      <w:pPr>
        <w:spacing w:after="0" w:line="55" w:lineRule="exact"/>
        <w:rPr>
          <w:sz w:val="24"/>
          <w:szCs w:val="24"/>
          <w:color w:val="auto"/>
        </w:rPr>
      </w:pPr>
    </w:p>
    <w:p>
      <w:pPr>
        <w:jc w:val="both"/>
        <w:ind w:left="300" w:firstLine="1126"/>
        <w:spacing w:after="0" w:line="232" w:lineRule="auto"/>
        <w:rPr>
          <w:sz w:val="20"/>
          <w:szCs w:val="20"/>
          <w:color w:val="auto"/>
        </w:rPr>
      </w:pPr>
      <w:r>
        <w:rPr>
          <w:rFonts w:ascii="Calibri" w:cs="Calibri" w:eastAsia="Calibri" w:hAnsi="Calibri"/>
          <w:sz w:val="22"/>
          <w:szCs w:val="22"/>
          <w:color w:val="auto"/>
        </w:rPr>
        <w:t>Art. 2º O custeio do Contrato de Prestação de Serviços firmado pelo Município com o Instituto de Previdência do Estado do Rio Grande do Sul- IPERGS, se dará na razão de 20,32% (vinte vírgula trinta e dois por cento) do salário de contribuição dos associados vinculados ao Município, cabendo ao servidor efetivo do Quadro de Provimento Efetivo do Município interessado em usufruir deste benefício contribuir com 12,60% (doze vírgula sessenta por cento) e o Município com 7,72% (sete vírgula setenta e dois por cento)do valor da conta mensal.</w:t>
      </w:r>
    </w:p>
    <w:p>
      <w:pPr>
        <w:spacing w:after="0" w:line="53" w:lineRule="exact"/>
        <w:rPr>
          <w:sz w:val="24"/>
          <w:szCs w:val="24"/>
          <w:color w:val="auto"/>
        </w:rPr>
      </w:pPr>
    </w:p>
    <w:p>
      <w:pPr>
        <w:jc w:val="both"/>
        <w:ind w:left="320" w:firstLine="1097"/>
        <w:spacing w:after="0" w:line="225" w:lineRule="auto"/>
        <w:rPr>
          <w:sz w:val="20"/>
          <w:szCs w:val="20"/>
          <w:color w:val="auto"/>
        </w:rPr>
      </w:pPr>
      <w:r>
        <w:rPr>
          <w:rFonts w:ascii="Calibri" w:cs="Calibri" w:eastAsia="Calibri" w:hAnsi="Calibri"/>
          <w:sz w:val="22"/>
          <w:szCs w:val="22"/>
          <w:color w:val="auto"/>
        </w:rPr>
        <w:t>Art. 3º Os agentes políticos, os ocupantes de cargos em comissão e os servidores inativos (aposentados e pensionistas)também poderão usufruir do benefício, devendo contribuir com 20,32% (vinte vírgula trinta e dois por cento) do valor mensal.</w:t>
      </w:r>
    </w:p>
    <w:p>
      <w:pPr>
        <w:spacing w:after="0" w:line="51" w:lineRule="exact"/>
        <w:rPr>
          <w:sz w:val="24"/>
          <w:szCs w:val="24"/>
          <w:color w:val="auto"/>
        </w:rPr>
      </w:pPr>
    </w:p>
    <w:p>
      <w:pPr>
        <w:jc w:val="both"/>
        <w:ind w:left="320" w:firstLine="1097"/>
        <w:spacing w:after="0" w:line="218" w:lineRule="auto"/>
        <w:rPr>
          <w:sz w:val="20"/>
          <w:szCs w:val="20"/>
          <w:color w:val="auto"/>
        </w:rPr>
      </w:pPr>
      <w:r>
        <w:rPr>
          <w:rFonts w:ascii="Calibri" w:cs="Calibri" w:eastAsia="Calibri" w:hAnsi="Calibri"/>
          <w:sz w:val="22"/>
          <w:szCs w:val="22"/>
          <w:color w:val="auto"/>
        </w:rPr>
        <w:t>Art. 4º As despesas decorrentes da aplicação desta Lei, correrão por conta de dotações orçamentárias próprias.</w:t>
      </w:r>
    </w:p>
    <w:p>
      <w:pPr>
        <w:spacing w:after="0" w:line="50" w:lineRule="exact"/>
        <w:rPr>
          <w:sz w:val="24"/>
          <w:szCs w:val="24"/>
          <w:color w:val="auto"/>
        </w:rPr>
      </w:pPr>
    </w:p>
    <w:p>
      <w:pPr>
        <w:jc w:val="both"/>
        <w:ind w:left="340" w:firstLine="1094"/>
        <w:spacing w:after="0" w:line="217" w:lineRule="auto"/>
        <w:rPr>
          <w:sz w:val="20"/>
          <w:szCs w:val="20"/>
          <w:color w:val="auto"/>
        </w:rPr>
      </w:pPr>
      <w:r>
        <w:rPr>
          <w:rFonts w:ascii="Calibri" w:cs="Calibri" w:eastAsia="Calibri" w:hAnsi="Calibri"/>
          <w:sz w:val="22"/>
          <w:szCs w:val="22"/>
          <w:color w:val="auto"/>
        </w:rPr>
        <w:t>Art. 5º Ficam revogadas as disposições em contrário, especialmente a Lei Municipal nº 5.461 de 07 de fevereiro de 2020.</w:t>
      </w:r>
    </w:p>
    <w:p>
      <w:pPr>
        <w:spacing w:after="0" w:line="50" w:lineRule="exact"/>
        <w:rPr>
          <w:sz w:val="24"/>
          <w:szCs w:val="24"/>
          <w:color w:val="auto"/>
        </w:rPr>
      </w:pPr>
    </w:p>
    <w:p>
      <w:pPr>
        <w:jc w:val="both"/>
        <w:ind w:left="340" w:firstLine="1034"/>
        <w:spacing w:after="0" w:line="218" w:lineRule="auto"/>
        <w:rPr>
          <w:sz w:val="20"/>
          <w:szCs w:val="20"/>
          <w:color w:val="auto"/>
        </w:rPr>
      </w:pPr>
      <w:r>
        <w:rPr>
          <w:rFonts w:ascii="Calibri" w:cs="Calibri" w:eastAsia="Calibri" w:hAnsi="Calibri"/>
          <w:sz w:val="22"/>
          <w:szCs w:val="22"/>
          <w:color w:val="auto"/>
        </w:rPr>
        <w:t>Art. 6º Esta Lei entrará em vigor na data de sua publicação e, seus efeitos</w:t>
      </w:r>
      <w:r>
        <w:rPr>
          <w:rFonts w:ascii="Calibri" w:cs="Calibri" w:eastAsia="Calibri" w:hAnsi="Calibri"/>
          <w:sz w:val="22"/>
          <w:szCs w:val="22"/>
          <w:color w:val="FF0000"/>
        </w:rPr>
        <w:t>,</w:t>
      </w:r>
      <w:r>
        <w:rPr>
          <w:rFonts w:ascii="Calibri" w:cs="Calibri" w:eastAsia="Calibri" w:hAnsi="Calibri"/>
          <w:sz w:val="22"/>
          <w:szCs w:val="22"/>
          <w:color w:val="auto"/>
        </w:rPr>
        <w:t xml:space="preserve"> a partir de 31 de dezembro de 2020.</w:t>
      </w:r>
    </w:p>
    <w:p>
      <w:pPr>
        <w:spacing w:after="0" w:line="1" w:lineRule="exact"/>
        <w:rPr>
          <w:sz w:val="24"/>
          <w:szCs w:val="24"/>
          <w:color w:val="auto"/>
        </w:rPr>
      </w:pPr>
    </w:p>
    <w:p>
      <w:pPr>
        <w:ind w:left="320"/>
        <w:spacing w:after="0"/>
        <w:rPr>
          <w:sz w:val="20"/>
          <w:szCs w:val="20"/>
          <w:color w:val="auto"/>
        </w:rPr>
      </w:pPr>
      <w:r>
        <w:rPr>
          <w:rFonts w:ascii="Calibri" w:cs="Calibri" w:eastAsia="Calibri" w:hAnsi="Calibri"/>
          <w:sz w:val="22"/>
          <w:szCs w:val="22"/>
          <w:color w:val="auto"/>
        </w:rPr>
        <w:t>PREFEITURA MUNICIPAL DE GETÚLIO VARGAS, 23 de dezembro de 2020.</w:t>
      </w:r>
    </w:p>
    <w:p>
      <w:pPr>
        <w:spacing w:after="0" w:line="200" w:lineRule="exact"/>
        <w:rPr>
          <w:sz w:val="24"/>
          <w:szCs w:val="24"/>
          <w:color w:val="auto"/>
        </w:rPr>
      </w:pPr>
    </w:p>
    <w:p>
      <w:pPr>
        <w:spacing w:after="0" w:line="307" w:lineRule="exact"/>
        <w:rPr>
          <w:sz w:val="24"/>
          <w:szCs w:val="24"/>
          <w:color w:val="auto"/>
        </w:rPr>
      </w:pPr>
    </w:p>
    <w:p>
      <w:pPr>
        <w:ind w:left="1960"/>
        <w:spacing w:after="0"/>
        <w:rPr>
          <w:sz w:val="20"/>
          <w:szCs w:val="20"/>
          <w:color w:val="auto"/>
        </w:rPr>
      </w:pPr>
      <w:r>
        <w:rPr>
          <w:rFonts w:ascii="Calibri" w:cs="Calibri" w:eastAsia="Calibri" w:hAnsi="Calibri"/>
          <w:sz w:val="22"/>
          <w:szCs w:val="22"/>
          <w:color w:val="auto"/>
        </w:rPr>
        <w:t>ELGIDO PASA,</w:t>
      </w:r>
    </w:p>
    <w:p>
      <w:pPr>
        <w:ind w:left="1960"/>
        <w:spacing w:after="0"/>
        <w:rPr>
          <w:sz w:val="20"/>
          <w:szCs w:val="20"/>
          <w:color w:val="auto"/>
        </w:rPr>
      </w:pPr>
      <w:r>
        <w:rPr>
          <w:rFonts w:ascii="Calibri" w:cs="Calibri" w:eastAsia="Calibri" w:hAnsi="Calibri"/>
          <w:sz w:val="22"/>
          <w:szCs w:val="22"/>
          <w:color w:val="auto"/>
        </w:rPr>
        <w:t>Vice-Prefeito em exercício.</w:t>
      </w:r>
    </w:p>
    <w:p>
      <w:pPr>
        <w:spacing w:after="0" w:line="252" w:lineRule="exact"/>
        <w:rPr>
          <w:sz w:val="24"/>
          <w:szCs w:val="24"/>
          <w:color w:val="auto"/>
        </w:rPr>
      </w:pPr>
    </w:p>
    <w:p>
      <w:pPr>
        <w:ind w:left="260"/>
        <w:spacing w:after="0"/>
        <w:rPr>
          <w:sz w:val="20"/>
          <w:szCs w:val="20"/>
          <w:color w:val="auto"/>
        </w:rPr>
      </w:pPr>
      <w:r>
        <w:rPr>
          <w:rFonts w:ascii="Calibri" w:cs="Calibri" w:eastAsia="Calibri" w:hAnsi="Calibri"/>
          <w:sz w:val="22"/>
          <w:szCs w:val="22"/>
          <w:color w:val="auto"/>
        </w:rPr>
        <w:t>Registre-se e Publique-se.</w:t>
      </w:r>
    </w:p>
    <w:p>
      <w:pPr>
        <w:spacing w:after="0" w:line="200" w:lineRule="exact"/>
        <w:rPr>
          <w:sz w:val="24"/>
          <w:szCs w:val="24"/>
          <w:color w:val="auto"/>
        </w:rPr>
      </w:pPr>
    </w:p>
    <w:p>
      <w:pPr>
        <w:spacing w:after="0" w:line="307" w:lineRule="exact"/>
        <w:rPr>
          <w:sz w:val="24"/>
          <w:szCs w:val="24"/>
          <w:color w:val="auto"/>
        </w:rPr>
      </w:pPr>
    </w:p>
    <w:p>
      <w:pPr>
        <w:ind w:left="1960"/>
        <w:spacing w:after="0"/>
        <w:rPr>
          <w:sz w:val="20"/>
          <w:szCs w:val="20"/>
          <w:color w:val="auto"/>
        </w:rPr>
      </w:pPr>
      <w:r>
        <w:rPr>
          <w:rFonts w:ascii="Calibri" w:cs="Calibri" w:eastAsia="Calibri" w:hAnsi="Calibri"/>
          <w:sz w:val="22"/>
          <w:szCs w:val="22"/>
          <w:color w:val="auto"/>
        </w:rPr>
        <w:t>ROSANE F. C. CADORIN,</w:t>
      </w:r>
    </w:p>
    <w:p>
      <w:pPr>
        <w:ind w:left="1960"/>
        <w:spacing w:after="0"/>
        <w:rPr>
          <w:sz w:val="20"/>
          <w:szCs w:val="20"/>
          <w:color w:val="auto"/>
        </w:rPr>
      </w:pPr>
      <w:r>
        <w:rPr>
          <w:rFonts w:ascii="Calibri" w:cs="Calibri" w:eastAsia="Calibri" w:hAnsi="Calibri"/>
          <w:sz w:val="22"/>
          <w:szCs w:val="22"/>
          <w:color w:val="auto"/>
        </w:rPr>
        <w:t>Secretária de Administração.</w:t>
      </w:r>
    </w:p>
    <w:p>
      <w:pPr>
        <w:spacing w:after="0" w:line="200" w:lineRule="exact"/>
        <w:rPr>
          <w:sz w:val="24"/>
          <w:szCs w:val="24"/>
          <w:color w:val="auto"/>
        </w:rPr>
      </w:pPr>
    </w:p>
    <w:p>
      <w:pPr>
        <w:spacing w:after="0" w:line="398" w:lineRule="exact"/>
        <w:rPr>
          <w:sz w:val="24"/>
          <w:szCs w:val="24"/>
          <w:color w:val="auto"/>
        </w:rPr>
      </w:pPr>
    </w:p>
    <w:p>
      <w:pPr>
        <w:ind w:left="4180"/>
        <w:spacing w:after="0" w:line="217" w:lineRule="auto"/>
        <w:rPr>
          <w:sz w:val="20"/>
          <w:szCs w:val="20"/>
          <w:color w:val="auto"/>
        </w:rPr>
      </w:pPr>
      <w:r>
        <w:rPr>
          <w:rFonts w:ascii="Calibri" w:cs="Calibri" w:eastAsia="Calibri" w:hAnsi="Calibri"/>
          <w:sz w:val="18"/>
          <w:szCs w:val="18"/>
          <w:color w:val="auto"/>
        </w:rPr>
        <w:t>Esta Lei foi afixada no Mural da Prefeitura, onde são divulgados os atos oficiais, por 15 dias a contar de 28/12/2020.</w:t>
      </w:r>
    </w:p>
    <w:p>
      <w:pPr>
        <w:sectPr>
          <w:pgSz w:w="11900" w:h="16840" w:orient="portrait"/>
          <w:cols w:equalWidth="0" w:num="1">
            <w:col w:w="9340"/>
          </w:cols>
          <w:pgMar w:left="1440" w:top="969" w:right="1120" w:bottom="952" w:gutter="0" w:footer="0" w:header="0"/>
        </w:sectPr>
      </w:pPr>
    </w:p>
    <w:bookmarkStart w:id="1" w:name="page2"/>
    <w:bookmarkEnd w:id="1"/>
    <w:p>
      <w:pPr>
        <w:jc w:val="center"/>
        <w:ind w:left="286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746760</wp:posOffset>
            </wp:positionH>
            <wp:positionV relativeFrom="page">
              <wp:posOffset>611505</wp:posOffset>
            </wp:positionV>
            <wp:extent cx="554355" cy="2203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54355" cy="220345"/>
                    </a:xfrm>
                    <a:prstGeom prst="rect">
                      <a:avLst/>
                    </a:prstGeom>
                    <a:noFill/>
                  </pic:spPr>
                </pic:pic>
              </a:graphicData>
            </a:graphic>
          </wp:anchor>
        </w:drawing>
        <w:t>PREFEITURA MUNICIPAL DE GETÚLIO VARGAS</w:t>
      </w:r>
    </w:p>
    <w:p>
      <w:pPr>
        <w:spacing w:after="0" w:line="2" w:lineRule="exact"/>
        <w:rPr>
          <w:sz w:val="20"/>
          <w:szCs w:val="20"/>
          <w:color w:val="auto"/>
        </w:rPr>
      </w:pPr>
    </w:p>
    <w:p>
      <w:pPr>
        <w:jc w:val="center"/>
        <w:ind w:left="3000"/>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637540</wp:posOffset>
            </wp:positionH>
            <wp:positionV relativeFrom="paragraph">
              <wp:posOffset>-182245</wp:posOffset>
            </wp:positionV>
            <wp:extent cx="768985" cy="5403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68985" cy="540385"/>
                    </a:xfrm>
                    <a:prstGeom prst="rect">
                      <a:avLst/>
                    </a:prstGeom>
                    <a:noFill/>
                  </pic:spPr>
                </pic:pic>
              </a:graphicData>
            </a:graphic>
          </wp:anchor>
        </w:drawing>
      </w:r>
    </w:p>
    <w:p>
      <w:pPr>
        <w:jc w:val="center"/>
        <w:ind w:left="3040"/>
        <w:spacing w:after="0" w:line="235" w:lineRule="auto"/>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left="3000"/>
        <w:spacing w:after="0"/>
        <w:rPr>
          <w:sz w:val="20"/>
          <w:szCs w:val="20"/>
          <w:color w:val="auto"/>
        </w:rPr>
      </w:pPr>
      <w:r>
        <w:rPr>
          <w:rFonts w:ascii="Times New Roman" w:cs="Times New Roman" w:eastAsia="Times New Roman" w:hAnsi="Times New Roman"/>
          <w:sz w:val="24"/>
          <w:szCs w:val="24"/>
          <w:color w:val="auto"/>
        </w:rPr>
        <w:t>pmgv@itake.com.br</w:t>
      </w:r>
    </w:p>
    <w:p>
      <w:pPr>
        <w:spacing w:after="0" w:line="200" w:lineRule="exact"/>
        <w:rPr>
          <w:sz w:val="20"/>
          <w:szCs w:val="20"/>
          <w:color w:val="auto"/>
        </w:rPr>
      </w:pPr>
    </w:p>
    <w:p>
      <w:pPr>
        <w:spacing w:after="0" w:line="312" w:lineRule="exact"/>
        <w:rPr>
          <w:sz w:val="20"/>
          <w:szCs w:val="20"/>
          <w:color w:val="auto"/>
        </w:rPr>
      </w:pPr>
    </w:p>
    <w:p>
      <w:pPr>
        <w:ind w:left="1140"/>
        <w:spacing w:after="0"/>
        <w:rPr>
          <w:sz w:val="20"/>
          <w:szCs w:val="20"/>
          <w:color w:val="auto"/>
        </w:rPr>
      </w:pPr>
      <w:r>
        <w:rPr>
          <w:rFonts w:ascii="Calibri" w:cs="Calibri" w:eastAsia="Calibri" w:hAnsi="Calibri"/>
          <w:sz w:val="22"/>
          <w:szCs w:val="22"/>
          <w:b w:val="1"/>
          <w:bCs w:val="1"/>
          <w:u w:val="single" w:color="auto"/>
          <w:color w:val="auto"/>
        </w:rPr>
        <w:t>Projeto de Lei nº 139 /2020 – Exposição de Motivos</w:t>
      </w:r>
    </w:p>
    <w:p>
      <w:pPr>
        <w:spacing w:after="0" w:line="200" w:lineRule="exact"/>
        <w:rPr>
          <w:sz w:val="20"/>
          <w:szCs w:val="20"/>
          <w:color w:val="auto"/>
        </w:rPr>
      </w:pPr>
    </w:p>
    <w:p>
      <w:pPr>
        <w:spacing w:after="0" w:line="338" w:lineRule="exact"/>
        <w:rPr>
          <w:sz w:val="20"/>
          <w:szCs w:val="20"/>
          <w:color w:val="auto"/>
        </w:rPr>
      </w:pPr>
    </w:p>
    <w:p>
      <w:pPr>
        <w:ind w:left="6780"/>
        <w:spacing w:after="0"/>
        <w:rPr>
          <w:sz w:val="20"/>
          <w:szCs w:val="20"/>
          <w:color w:val="auto"/>
        </w:rPr>
      </w:pPr>
      <w:r>
        <w:rPr>
          <w:rFonts w:ascii="Calibri" w:cs="Calibri" w:eastAsia="Calibri" w:hAnsi="Calibri"/>
          <w:sz w:val="22"/>
          <w:szCs w:val="22"/>
          <w:color w:val="auto"/>
        </w:rPr>
        <w:t>Getúlio Vargas, 17 de dezembro de 2020.</w:t>
      </w:r>
    </w:p>
    <w:p>
      <w:pPr>
        <w:spacing w:after="0" w:line="200" w:lineRule="exact"/>
        <w:rPr>
          <w:sz w:val="20"/>
          <w:szCs w:val="20"/>
          <w:color w:val="auto"/>
        </w:rPr>
      </w:pPr>
    </w:p>
    <w:p>
      <w:pPr>
        <w:spacing w:after="0" w:line="335" w:lineRule="exact"/>
        <w:rPr>
          <w:sz w:val="20"/>
          <w:szCs w:val="20"/>
          <w:color w:val="auto"/>
        </w:rPr>
      </w:pPr>
    </w:p>
    <w:p>
      <w:pPr>
        <w:ind w:left="2840"/>
        <w:spacing w:after="0"/>
        <w:rPr>
          <w:sz w:val="20"/>
          <w:szCs w:val="20"/>
          <w:color w:val="auto"/>
        </w:rPr>
      </w:pPr>
      <w:r>
        <w:rPr>
          <w:rFonts w:ascii="Calibri" w:cs="Calibri" w:eastAsia="Calibri" w:hAnsi="Calibri"/>
          <w:sz w:val="22"/>
          <w:szCs w:val="22"/>
          <w:color w:val="auto"/>
        </w:rPr>
        <w:t>Senhor Presidente,</w:t>
      </w:r>
    </w:p>
    <w:p>
      <w:pPr>
        <w:spacing w:after="0" w:line="318" w:lineRule="exact"/>
        <w:rPr>
          <w:sz w:val="20"/>
          <w:szCs w:val="20"/>
          <w:color w:val="auto"/>
        </w:rPr>
      </w:pPr>
    </w:p>
    <w:p>
      <w:pPr>
        <w:jc w:val="both"/>
        <w:ind w:left="1140" w:firstLine="1694"/>
        <w:spacing w:after="0" w:line="221" w:lineRule="auto"/>
        <w:rPr>
          <w:sz w:val="20"/>
          <w:szCs w:val="20"/>
          <w:color w:val="auto"/>
        </w:rPr>
      </w:pPr>
      <w:r>
        <w:rPr>
          <w:rFonts w:ascii="Calibri" w:cs="Calibri" w:eastAsia="Calibri" w:hAnsi="Calibri"/>
          <w:sz w:val="22"/>
          <w:szCs w:val="22"/>
          <w:color w:val="auto"/>
        </w:rPr>
        <w:t xml:space="preserve">Segue Projeto de Lei que </w:t>
      </w:r>
      <w:r>
        <w:rPr>
          <w:rFonts w:ascii="Calibri" w:cs="Calibri" w:eastAsia="Calibri" w:hAnsi="Calibri"/>
          <w:sz w:val="21"/>
          <w:szCs w:val="21"/>
          <w:color w:val="auto"/>
        </w:rPr>
        <w:t>Autoriza o Poder Executivo Municipal a efetuar o custeio do</w:t>
      </w:r>
      <w:r>
        <w:rPr>
          <w:rFonts w:ascii="Calibri" w:cs="Calibri" w:eastAsia="Calibri" w:hAnsi="Calibri"/>
          <w:sz w:val="22"/>
          <w:szCs w:val="22"/>
          <w:color w:val="auto"/>
        </w:rPr>
        <w:t xml:space="preserve"> </w:t>
      </w:r>
      <w:r>
        <w:rPr>
          <w:rFonts w:ascii="Calibri" w:cs="Calibri" w:eastAsia="Calibri" w:hAnsi="Calibri"/>
          <w:sz w:val="21"/>
          <w:szCs w:val="21"/>
          <w:color w:val="auto"/>
        </w:rPr>
        <w:t>contrato de Prestação de Serviços com o Instituto de Previdência do Estado do Rio Grande do Sul- IPERGS, dispõe sobre a forma de custeio e dá outras providências.</w:t>
      </w:r>
    </w:p>
    <w:p>
      <w:pPr>
        <w:spacing w:after="0" w:line="50" w:lineRule="exact"/>
        <w:rPr>
          <w:sz w:val="20"/>
          <w:szCs w:val="20"/>
          <w:color w:val="auto"/>
        </w:rPr>
      </w:pPr>
    </w:p>
    <w:p>
      <w:pPr>
        <w:jc w:val="both"/>
        <w:ind w:left="1140" w:firstLine="1661"/>
        <w:spacing w:after="0" w:line="228" w:lineRule="auto"/>
        <w:rPr>
          <w:sz w:val="20"/>
          <w:szCs w:val="20"/>
          <w:color w:val="auto"/>
        </w:rPr>
      </w:pPr>
      <w:r>
        <w:rPr>
          <w:rFonts w:ascii="Calibri" w:cs="Calibri" w:eastAsia="Calibri" w:hAnsi="Calibri"/>
          <w:sz w:val="21"/>
          <w:szCs w:val="21"/>
          <w:color w:val="auto"/>
        </w:rPr>
        <w:t>O presente Projeto de Lei vem atender ao disposto no artigo 11, § 2º , I da Resolução 329/2004, que dispõe que a sinistralidade geral não poderá ser superior a 85% e se acaso o contrato de prestação de serviços apresente sinistralidade superior a 85%, índice tido como da sinistralidade geral, deverá ser restabelecido a regra geral.</w:t>
      </w:r>
    </w:p>
    <w:p>
      <w:pPr>
        <w:spacing w:after="0" w:line="51" w:lineRule="exact"/>
        <w:rPr>
          <w:sz w:val="20"/>
          <w:szCs w:val="20"/>
          <w:color w:val="auto"/>
        </w:rPr>
      </w:pPr>
    </w:p>
    <w:p>
      <w:pPr>
        <w:jc w:val="both"/>
        <w:ind w:left="1140" w:firstLine="1663"/>
        <w:spacing w:after="0" w:line="218" w:lineRule="auto"/>
        <w:rPr>
          <w:sz w:val="20"/>
          <w:szCs w:val="20"/>
          <w:color w:val="auto"/>
        </w:rPr>
      </w:pPr>
      <w:r>
        <w:rPr>
          <w:rFonts w:ascii="Calibri" w:cs="Calibri" w:eastAsia="Calibri" w:hAnsi="Calibri"/>
          <w:sz w:val="21"/>
          <w:szCs w:val="21"/>
          <w:color w:val="auto"/>
        </w:rPr>
        <w:t>De acordo com o Ofício nº 176/2019, cópia em anexo, considerando a Cláusula Quinta e seu parágrafo único do Contrato de Prestação de Serviços mantido com o IPERGS, considerando que a sinistralidade</w:t>
      </w:r>
    </w:p>
    <w:p>
      <w:pPr>
        <w:spacing w:after="0" w:line="48" w:lineRule="exact"/>
        <w:rPr>
          <w:sz w:val="20"/>
          <w:szCs w:val="20"/>
          <w:color w:val="auto"/>
        </w:rPr>
      </w:pPr>
    </w:p>
    <w:p>
      <w:pPr>
        <w:jc w:val="both"/>
        <w:ind w:left="1140" w:hanging="7"/>
        <w:spacing w:after="0" w:line="228" w:lineRule="auto"/>
        <w:tabs>
          <w:tab w:leader="none" w:pos="1308" w:val="left"/>
        </w:tabs>
        <w:numPr>
          <w:ilvl w:val="0"/>
          <w:numId w:val="1"/>
        </w:numPr>
        <w:rPr>
          <w:rFonts w:ascii="Calibri" w:cs="Calibri" w:eastAsia="Calibri" w:hAnsi="Calibri"/>
          <w:sz w:val="21"/>
          <w:szCs w:val="21"/>
          <w:color w:val="auto"/>
        </w:rPr>
      </w:pPr>
      <w:r>
        <w:rPr>
          <w:rFonts w:ascii="Calibri" w:cs="Calibri" w:eastAsia="Calibri" w:hAnsi="Calibri"/>
          <w:sz w:val="21"/>
          <w:szCs w:val="21"/>
          <w:color w:val="auto"/>
        </w:rPr>
        <w:t>superior ao máximo previsto nos parâmetros legais, tomando-se por base os dados do período de janeiro a dezembro de 2020, referente ás despesas assistenciais do Contratante, necessário aumentar a alíquota de contribuição do custeio dos associados vinculados ao Município de Getúlio Vargas, passando de 20,14% para 20,32%, a partir de janeiro de 2021, conforme o constante na cláusula décima segunda da minuta em anexo.</w:t>
      </w:r>
    </w:p>
    <w:p>
      <w:pPr>
        <w:spacing w:after="0" w:line="27" w:lineRule="exact"/>
        <w:rPr>
          <w:sz w:val="20"/>
          <w:szCs w:val="20"/>
          <w:color w:val="auto"/>
        </w:rPr>
      </w:pPr>
    </w:p>
    <w:p>
      <w:pPr>
        <w:spacing w:after="0"/>
        <w:rPr>
          <w:sz w:val="20"/>
          <w:szCs w:val="20"/>
          <w:color w:val="auto"/>
        </w:rPr>
      </w:pPr>
      <w:r>
        <w:rPr>
          <w:rFonts w:ascii="Arial" w:cs="Arial" w:eastAsia="Arial" w:hAnsi="Arial"/>
          <w:sz w:val="22"/>
          <w:szCs w:val="22"/>
          <w:color w:val="auto"/>
        </w:rPr>
        <w:t>.</w:t>
      </w:r>
    </w:p>
    <w:p>
      <w:pPr>
        <w:ind w:left="2880"/>
        <w:spacing w:after="0" w:line="218" w:lineRule="auto"/>
        <w:rPr>
          <w:sz w:val="20"/>
          <w:szCs w:val="20"/>
          <w:color w:val="auto"/>
        </w:rPr>
      </w:pPr>
      <w:r>
        <w:rPr>
          <w:rFonts w:ascii="Calibri" w:cs="Calibri" w:eastAsia="Calibri" w:hAnsi="Calibri"/>
          <w:sz w:val="22"/>
          <w:szCs w:val="22"/>
          <w:color w:val="auto"/>
        </w:rPr>
        <w:t>No aguardo da aprovação, desde já manifestamos nosso apreço e consideração.</w:t>
      </w:r>
    </w:p>
    <w:p>
      <w:pPr>
        <w:spacing w:after="0" w:line="270" w:lineRule="exact"/>
        <w:rPr>
          <w:sz w:val="20"/>
          <w:szCs w:val="20"/>
          <w:color w:val="auto"/>
        </w:rPr>
      </w:pPr>
    </w:p>
    <w:p>
      <w:pPr>
        <w:ind w:left="2840"/>
        <w:spacing w:after="0"/>
        <w:rPr>
          <w:sz w:val="20"/>
          <w:szCs w:val="20"/>
          <w:color w:val="auto"/>
        </w:rPr>
      </w:pPr>
      <w:r>
        <w:rPr>
          <w:rFonts w:ascii="Calibri" w:cs="Calibri" w:eastAsia="Calibri" w:hAnsi="Calibri"/>
          <w:sz w:val="22"/>
          <w:szCs w:val="22"/>
          <w:color w:val="auto"/>
        </w:rPr>
        <w:t>Atenciosamente,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ind w:left="4820"/>
        <w:spacing w:after="0"/>
        <w:rPr>
          <w:sz w:val="20"/>
          <w:szCs w:val="20"/>
          <w:color w:val="auto"/>
        </w:rPr>
      </w:pPr>
      <w:r>
        <w:rPr>
          <w:rFonts w:ascii="Calibri" w:cs="Calibri" w:eastAsia="Calibri" w:hAnsi="Calibri"/>
          <w:sz w:val="22"/>
          <w:szCs w:val="22"/>
          <w:color w:val="auto"/>
        </w:rPr>
        <w:t>MAURÍCIO SOLIGO,</w:t>
      </w:r>
    </w:p>
    <w:p>
      <w:pPr>
        <w:ind w:left="4820"/>
        <w:spacing w:after="0"/>
        <w:rPr>
          <w:sz w:val="20"/>
          <w:szCs w:val="20"/>
          <w:color w:val="auto"/>
        </w:rPr>
      </w:pPr>
      <w:r>
        <w:rPr>
          <w:rFonts w:ascii="Calibri" w:cs="Calibri" w:eastAsia="Calibri" w:hAnsi="Calibri"/>
          <w:sz w:val="22"/>
          <w:szCs w:val="22"/>
          <w:color w:val="auto"/>
        </w:rPr>
        <w:t>Prefeito Municipal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ind w:left="1180"/>
        <w:spacing w:after="0"/>
        <w:rPr>
          <w:sz w:val="20"/>
          <w:szCs w:val="20"/>
          <w:color w:val="auto"/>
        </w:rPr>
      </w:pPr>
      <w:r>
        <w:rPr>
          <w:rFonts w:ascii="Calibri" w:cs="Calibri" w:eastAsia="Calibri" w:hAnsi="Calibri"/>
          <w:sz w:val="22"/>
          <w:szCs w:val="22"/>
          <w:color w:val="auto"/>
        </w:rPr>
        <w:t>Ao Sr.</w:t>
      </w:r>
    </w:p>
    <w:p>
      <w:pPr>
        <w:ind w:left="1140"/>
        <w:spacing w:after="0"/>
        <w:rPr>
          <w:sz w:val="20"/>
          <w:szCs w:val="20"/>
          <w:color w:val="auto"/>
        </w:rPr>
      </w:pPr>
      <w:r>
        <w:rPr>
          <w:rFonts w:ascii="Calibri" w:cs="Calibri" w:eastAsia="Calibri" w:hAnsi="Calibri"/>
          <w:sz w:val="22"/>
          <w:szCs w:val="22"/>
          <w:color w:val="auto"/>
        </w:rPr>
        <w:t>ELOI NARDI</w:t>
      </w:r>
    </w:p>
    <w:p>
      <w:pPr>
        <w:ind w:left="1140"/>
        <w:spacing w:after="0"/>
        <w:rPr>
          <w:sz w:val="20"/>
          <w:szCs w:val="20"/>
          <w:color w:val="auto"/>
        </w:rPr>
      </w:pPr>
      <w:r>
        <w:rPr>
          <w:rFonts w:ascii="Calibri" w:cs="Calibri" w:eastAsia="Calibri" w:hAnsi="Calibri"/>
          <w:sz w:val="22"/>
          <w:szCs w:val="22"/>
          <w:color w:val="auto"/>
        </w:rPr>
        <w:t>Presidente da Câmara Municipal de Vereadores</w:t>
      </w:r>
    </w:p>
    <w:p>
      <w:pPr>
        <w:ind w:left="1140"/>
        <w:spacing w:after="0"/>
        <w:rPr>
          <w:sz w:val="20"/>
          <w:szCs w:val="20"/>
          <w:color w:val="auto"/>
        </w:rPr>
      </w:pPr>
      <w:r>
        <w:rPr>
          <w:rFonts w:ascii="Calibri" w:cs="Calibri" w:eastAsia="Calibri" w:hAnsi="Calibri"/>
          <w:sz w:val="22"/>
          <w:szCs w:val="22"/>
          <w:color w:val="auto"/>
        </w:rPr>
        <w:t>Nesta</w:t>
      </w:r>
    </w:p>
    <w:sectPr>
      <w:pgSz w:w="11900" w:h="16840" w:orient="portrait"/>
      <w:cols w:equalWidth="0" w:num="1">
        <w:col w:w="10700"/>
      </w:cols>
      <w:pgMar w:left="0" w:top="969" w:right="120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é"/>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2021-02-26T12:23:14Z</dcterms:created>
  <dcterms:modified xsi:type="dcterms:W3CDTF">2021-02-26T12:23:14Z</dcterms:modified>
</cp:coreProperties>
</file>